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7F0582" w14:textId="77777777" w:rsidR="004E23F9" w:rsidRPr="005D0294" w:rsidRDefault="004E23F9" w:rsidP="005D0294">
      <w:pPr>
        <w:ind w:firstLine="720"/>
        <w:rPr>
          <w:rFonts w:ascii="Times New Roman" w:hAnsi="Times New Roman"/>
        </w:rPr>
      </w:pPr>
    </w:p>
    <w:p w14:paraId="3FD54BFA" w14:textId="77777777" w:rsidR="004E23F9" w:rsidRPr="005D0294" w:rsidRDefault="004E23F9" w:rsidP="005D0294">
      <w:pPr>
        <w:ind w:firstLine="720"/>
        <w:rPr>
          <w:rFonts w:ascii="Times New Roman" w:hAnsi="Times New Roman"/>
        </w:rPr>
      </w:pPr>
    </w:p>
    <w:p w14:paraId="00B0F1BC" w14:textId="77777777" w:rsidR="004E23F9" w:rsidRPr="005D0294" w:rsidRDefault="004E23F9" w:rsidP="005D0294">
      <w:pPr>
        <w:ind w:firstLine="720"/>
        <w:rPr>
          <w:rFonts w:ascii="Times New Roman" w:hAnsi="Times New Roman"/>
        </w:rPr>
      </w:pPr>
    </w:p>
    <w:p w14:paraId="04654BB6" w14:textId="77777777" w:rsidR="004E23F9" w:rsidRPr="005D0294" w:rsidRDefault="004E23F9" w:rsidP="005D0294">
      <w:pPr>
        <w:ind w:firstLine="720"/>
        <w:rPr>
          <w:rFonts w:ascii="Times New Roman" w:hAnsi="Times New Roman"/>
        </w:rPr>
      </w:pPr>
    </w:p>
    <w:p w14:paraId="1A676B3B" w14:textId="77777777" w:rsidR="004E23F9" w:rsidRPr="005D0294" w:rsidRDefault="004E23F9" w:rsidP="005D0294">
      <w:pPr>
        <w:ind w:firstLine="720"/>
        <w:rPr>
          <w:rFonts w:ascii="Times New Roman" w:hAnsi="Times New Roman"/>
        </w:rPr>
      </w:pPr>
    </w:p>
    <w:p w14:paraId="1188209A" w14:textId="77777777" w:rsidR="004E23F9" w:rsidRPr="005D0294" w:rsidRDefault="004E23F9" w:rsidP="005D0294">
      <w:pPr>
        <w:ind w:firstLine="720"/>
        <w:rPr>
          <w:rFonts w:ascii="Times New Roman" w:hAnsi="Times New Roman"/>
        </w:rPr>
      </w:pPr>
    </w:p>
    <w:p w14:paraId="69109873" w14:textId="77777777" w:rsidR="004E23F9" w:rsidRPr="005D0294" w:rsidRDefault="004E23F9" w:rsidP="005D0294">
      <w:pPr>
        <w:ind w:firstLine="720"/>
        <w:rPr>
          <w:rFonts w:ascii="Times New Roman" w:hAnsi="Times New Roman"/>
        </w:rPr>
      </w:pPr>
    </w:p>
    <w:p w14:paraId="14C83D0B" w14:textId="77777777" w:rsidR="004E23F9" w:rsidRPr="005D0294" w:rsidRDefault="004E23F9" w:rsidP="005D0294">
      <w:pPr>
        <w:ind w:firstLine="720"/>
        <w:rPr>
          <w:rFonts w:ascii="Times New Roman" w:hAnsi="Times New Roman"/>
        </w:rPr>
      </w:pPr>
    </w:p>
    <w:p w14:paraId="3CE2AA11" w14:textId="77777777" w:rsidR="004E23F9" w:rsidRPr="005D0294" w:rsidRDefault="004E23F9" w:rsidP="005D0294">
      <w:pPr>
        <w:ind w:firstLine="720"/>
        <w:rPr>
          <w:rFonts w:ascii="Times New Roman" w:hAnsi="Times New Roman"/>
        </w:rPr>
      </w:pPr>
    </w:p>
    <w:p w14:paraId="311577BA" w14:textId="77777777" w:rsidR="004E23F9" w:rsidRPr="005D0294" w:rsidRDefault="004E23F9" w:rsidP="005D0294">
      <w:pPr>
        <w:ind w:firstLine="720"/>
        <w:rPr>
          <w:rFonts w:ascii="Times New Roman" w:hAnsi="Times New Roman"/>
        </w:rPr>
      </w:pPr>
    </w:p>
    <w:p w14:paraId="4DBEBC18" w14:textId="5EA312CF" w:rsidR="004E23F9" w:rsidRPr="002200B7" w:rsidRDefault="004E23F9" w:rsidP="005D0294">
      <w:pPr>
        <w:ind w:firstLine="720"/>
        <w:jc w:val="center"/>
        <w:rPr>
          <w:rFonts w:ascii="Times New Roman" w:hAnsi="Times New Roman"/>
          <w:bCs/>
        </w:rPr>
      </w:pPr>
      <w:r w:rsidRPr="002200B7">
        <w:rPr>
          <w:rFonts w:ascii="Times New Roman" w:hAnsi="Times New Roman"/>
          <w:bCs/>
        </w:rPr>
        <w:t>Advice to the Supreme Court on Whether to Reconsider the Plyler v Doe Decision</w:t>
      </w:r>
    </w:p>
    <w:p w14:paraId="662AC040" w14:textId="77777777" w:rsidR="004E23F9" w:rsidRPr="002200B7" w:rsidRDefault="004E23F9" w:rsidP="005D0294">
      <w:pPr>
        <w:ind w:firstLine="720"/>
        <w:jc w:val="center"/>
        <w:rPr>
          <w:rFonts w:ascii="Times New Roman" w:hAnsi="Times New Roman"/>
          <w:bCs/>
        </w:rPr>
      </w:pPr>
      <w:r w:rsidRPr="002200B7">
        <w:rPr>
          <w:rFonts w:ascii="Times New Roman" w:hAnsi="Times New Roman"/>
          <w:bCs/>
        </w:rPr>
        <w:t>Name</w:t>
      </w:r>
    </w:p>
    <w:p w14:paraId="24F6E0CC" w14:textId="1A44F9AA" w:rsidR="004E23F9" w:rsidRPr="002200B7" w:rsidRDefault="004E23F9" w:rsidP="005D0294">
      <w:pPr>
        <w:ind w:firstLine="720"/>
        <w:jc w:val="center"/>
        <w:rPr>
          <w:rFonts w:ascii="Times New Roman" w:hAnsi="Times New Roman"/>
          <w:bCs/>
        </w:rPr>
      </w:pPr>
      <w:r w:rsidRPr="002200B7">
        <w:rPr>
          <w:rFonts w:ascii="Times New Roman" w:hAnsi="Times New Roman"/>
          <w:bCs/>
        </w:rPr>
        <w:t>Institutional Affiliations</w:t>
      </w:r>
    </w:p>
    <w:p w14:paraId="17DFF112" w14:textId="1B87D242" w:rsidR="004E23F9" w:rsidRPr="002200B7" w:rsidRDefault="004E23F9" w:rsidP="005D0294">
      <w:pPr>
        <w:ind w:firstLine="720"/>
        <w:jc w:val="center"/>
        <w:rPr>
          <w:rFonts w:ascii="Times New Roman" w:hAnsi="Times New Roman"/>
        </w:rPr>
      </w:pPr>
      <w:r w:rsidRPr="002200B7">
        <w:rPr>
          <w:rFonts w:ascii="Times New Roman" w:hAnsi="Times New Roman"/>
          <w:bCs/>
        </w:rPr>
        <w:t>Date</w:t>
      </w:r>
    </w:p>
    <w:p w14:paraId="03472696" w14:textId="3EBDF154" w:rsidR="004E23F9" w:rsidRPr="005D0294" w:rsidRDefault="004E23F9" w:rsidP="005D0294">
      <w:pPr>
        <w:ind w:firstLine="720"/>
        <w:rPr>
          <w:rFonts w:ascii="Times New Roman" w:hAnsi="Times New Roman"/>
        </w:rPr>
      </w:pPr>
      <w:r w:rsidRPr="005D0294">
        <w:rPr>
          <w:rFonts w:ascii="Times New Roman" w:hAnsi="Times New Roman"/>
        </w:rPr>
        <w:br w:type="page"/>
      </w:r>
    </w:p>
    <w:p w14:paraId="1753808A" w14:textId="6468C4EC" w:rsidR="004E23F9" w:rsidRPr="005D0294" w:rsidRDefault="004E23F9" w:rsidP="002200B7">
      <w:pPr>
        <w:jc w:val="center"/>
        <w:rPr>
          <w:rFonts w:ascii="Times New Roman" w:hAnsi="Times New Roman"/>
        </w:rPr>
      </w:pPr>
      <w:r w:rsidRPr="005D0294">
        <w:rPr>
          <w:rFonts w:ascii="Times New Roman" w:hAnsi="Times New Roman"/>
        </w:rPr>
        <w:lastRenderedPageBreak/>
        <w:t>Advice to the Supreme Court on Whether to Reconsider the Plyler v Doe Decision</w:t>
      </w:r>
    </w:p>
    <w:p w14:paraId="09C2F047" w14:textId="5D1A1DEA" w:rsidR="00E94641" w:rsidRPr="005D0294" w:rsidRDefault="00BB2D89" w:rsidP="005D0294">
      <w:pPr>
        <w:ind w:firstLine="720"/>
        <w:rPr>
          <w:rFonts w:ascii="Times New Roman" w:hAnsi="Times New Roman"/>
        </w:rPr>
      </w:pPr>
      <w:r w:rsidRPr="005D0294">
        <w:rPr>
          <w:rFonts w:ascii="Times New Roman" w:hAnsi="Times New Roman"/>
        </w:rPr>
        <w:t>In June 1982</w:t>
      </w:r>
      <w:r w:rsidR="004E23F9" w:rsidRPr="005D0294">
        <w:rPr>
          <w:rFonts w:ascii="Times New Roman" w:hAnsi="Times New Roman"/>
        </w:rPr>
        <w:t>,</w:t>
      </w:r>
      <w:r w:rsidRPr="005D0294">
        <w:rPr>
          <w:rFonts w:ascii="Times New Roman" w:hAnsi="Times New Roman"/>
        </w:rPr>
        <w:t xml:space="preserve"> the Supreme Court provided Plyler v. Doe, a historic judgment made by states that because of their immigration status</w:t>
      </w:r>
      <w:r w:rsidR="004E23F9" w:rsidRPr="005D0294">
        <w:rPr>
          <w:rFonts w:ascii="Times New Roman" w:hAnsi="Times New Roman"/>
        </w:rPr>
        <w:t>,</w:t>
      </w:r>
      <w:r w:rsidRPr="005D0294">
        <w:rPr>
          <w:rFonts w:ascii="Times New Roman" w:hAnsi="Times New Roman"/>
        </w:rPr>
        <w:t xml:space="preserve"> it cannot legally refuse students free public education. By a 5-4 vote</w:t>
      </w:r>
      <w:r w:rsidR="004E23F9" w:rsidRPr="005D0294">
        <w:rPr>
          <w:rFonts w:ascii="Times New Roman" w:hAnsi="Times New Roman"/>
        </w:rPr>
        <w:t>,</w:t>
      </w:r>
      <w:r w:rsidRPr="005D0294">
        <w:rPr>
          <w:rFonts w:ascii="Times New Roman" w:hAnsi="Times New Roman"/>
        </w:rPr>
        <w:t xml:space="preserve"> the Court found that the risk to society as a whole was </w:t>
      </w:r>
      <w:r w:rsidR="004E23F9" w:rsidRPr="005D0294">
        <w:rPr>
          <w:rFonts w:ascii="Times New Roman" w:hAnsi="Times New Roman"/>
        </w:rPr>
        <w:t>substantial</w:t>
      </w:r>
      <w:r w:rsidRPr="005D0294">
        <w:rPr>
          <w:rFonts w:ascii="Times New Roman" w:hAnsi="Times New Roman"/>
        </w:rPr>
        <w:t>ly outweighed by the damages that could be done by excluding immigrant children from public schools.</w:t>
      </w:r>
      <w:r w:rsidR="009B4FE6" w:rsidRPr="005D0294">
        <w:rPr>
          <w:rFonts w:ascii="Times New Roman" w:hAnsi="Times New Roman"/>
        </w:rPr>
        <w:t xml:space="preserve"> Plyler has maintained fair access to children's education for more than 30 years without respect to citizenship, but anti-immigrant sentiments threaten to jeopardize the opportunity. Therefore, it is </w:t>
      </w:r>
      <w:r w:rsidR="004E23F9" w:rsidRPr="005D0294">
        <w:rPr>
          <w:rFonts w:ascii="Times New Roman" w:hAnsi="Times New Roman"/>
        </w:rPr>
        <w:t>essential</w:t>
      </w:r>
      <w:r w:rsidR="009B4FE6" w:rsidRPr="005D0294">
        <w:rPr>
          <w:rFonts w:ascii="Times New Roman" w:hAnsi="Times New Roman"/>
        </w:rPr>
        <w:t xml:space="preserve"> to question whether there is a need </w:t>
      </w:r>
      <w:r w:rsidR="004E23F9" w:rsidRPr="005D0294">
        <w:rPr>
          <w:rFonts w:ascii="Times New Roman" w:hAnsi="Times New Roman"/>
        </w:rPr>
        <w:t>for</w:t>
      </w:r>
      <w:r w:rsidR="009B4FE6" w:rsidRPr="005D0294">
        <w:rPr>
          <w:rFonts w:ascii="Times New Roman" w:hAnsi="Times New Roman"/>
        </w:rPr>
        <w:t xml:space="preserve"> revisiting Plyler v. Doe case to make some changes.</w:t>
      </w:r>
    </w:p>
    <w:p w14:paraId="724753AB" w14:textId="217B2081" w:rsidR="00E73D08" w:rsidRPr="002200B7" w:rsidRDefault="00E73D08" w:rsidP="002200B7">
      <w:pPr>
        <w:jc w:val="center"/>
        <w:rPr>
          <w:rFonts w:ascii="Times New Roman" w:hAnsi="Times New Roman"/>
          <w:b/>
        </w:rPr>
      </w:pPr>
      <w:r w:rsidRPr="002200B7">
        <w:rPr>
          <w:rFonts w:ascii="Times New Roman" w:hAnsi="Times New Roman"/>
          <w:b/>
        </w:rPr>
        <w:t xml:space="preserve">Facts </w:t>
      </w:r>
      <w:proofErr w:type="gramStart"/>
      <w:r w:rsidR="002200B7" w:rsidRPr="002200B7">
        <w:rPr>
          <w:rFonts w:ascii="Times New Roman" w:hAnsi="Times New Roman"/>
          <w:b/>
        </w:rPr>
        <w:t>Of</w:t>
      </w:r>
      <w:proofErr w:type="gramEnd"/>
      <w:r w:rsidR="002200B7" w:rsidRPr="002200B7">
        <w:rPr>
          <w:rFonts w:ascii="Times New Roman" w:hAnsi="Times New Roman"/>
          <w:b/>
        </w:rPr>
        <w:t xml:space="preserve"> The Case</w:t>
      </w:r>
    </w:p>
    <w:p w14:paraId="362AB005" w14:textId="5CE33BEF" w:rsidR="009B4FE6" w:rsidRPr="005D0294" w:rsidRDefault="009B4FE6" w:rsidP="005D0294">
      <w:pPr>
        <w:ind w:firstLine="720"/>
        <w:rPr>
          <w:rFonts w:ascii="Times New Roman" w:hAnsi="Times New Roman"/>
        </w:rPr>
      </w:pPr>
      <w:r w:rsidRPr="005D0294">
        <w:rPr>
          <w:rFonts w:ascii="Times New Roman" w:hAnsi="Times New Roman"/>
        </w:rPr>
        <w:t>In this particular case, th</w:t>
      </w:r>
      <w:bookmarkStart w:id="0" w:name="_GoBack"/>
      <w:bookmarkEnd w:id="0"/>
      <w:r w:rsidRPr="005D0294">
        <w:rPr>
          <w:rFonts w:ascii="Times New Roman" w:hAnsi="Times New Roman"/>
        </w:rPr>
        <w:t xml:space="preserve">e </w:t>
      </w:r>
      <w:r w:rsidR="004E23F9" w:rsidRPr="005D0294">
        <w:rPr>
          <w:rFonts w:ascii="Times New Roman" w:hAnsi="Times New Roman"/>
        </w:rPr>
        <w:t>C</w:t>
      </w:r>
      <w:r w:rsidRPr="005D0294">
        <w:rPr>
          <w:rFonts w:ascii="Times New Roman" w:hAnsi="Times New Roman"/>
        </w:rPr>
        <w:t>our</w:t>
      </w:r>
      <w:r w:rsidR="00E435EC" w:rsidRPr="005D0294">
        <w:rPr>
          <w:rFonts w:ascii="Times New Roman" w:hAnsi="Times New Roman"/>
        </w:rPr>
        <w:t>t</w:t>
      </w:r>
      <w:r w:rsidRPr="005D0294">
        <w:rPr>
          <w:rFonts w:ascii="Times New Roman" w:hAnsi="Times New Roman"/>
        </w:rPr>
        <w:t xml:space="preserve"> used some facts to end up with their final ruling. For instance, The Texas Legislature authorized districts of the local school to exclude foreign-born children </w:t>
      </w:r>
      <w:r w:rsidR="00E435EC" w:rsidRPr="005D0294">
        <w:rPr>
          <w:rFonts w:ascii="Times New Roman" w:hAnsi="Times New Roman"/>
        </w:rPr>
        <w:t>-</w:t>
      </w:r>
      <w:r w:rsidRPr="005D0294">
        <w:rPr>
          <w:rFonts w:ascii="Times New Roman" w:hAnsi="Times New Roman"/>
        </w:rPr>
        <w:t>not "legally admitted" to public schools in 1975. Two years later, the Board of Tyler's Independent School adopted a policy allowing students who are foreign</w:t>
      </w:r>
      <w:r w:rsidR="004E23F9" w:rsidRPr="005D0294">
        <w:rPr>
          <w:rFonts w:ascii="Times New Roman" w:hAnsi="Times New Roman"/>
        </w:rPr>
        <w:t>-</w:t>
      </w:r>
      <w:r w:rsidRPr="005D0294">
        <w:rPr>
          <w:rFonts w:ascii="Times New Roman" w:hAnsi="Times New Roman"/>
        </w:rPr>
        <w:t xml:space="preserve">born to take teaching if "lawfully accepted." Children </w:t>
      </w:r>
      <w:r w:rsidR="004E23F9" w:rsidRPr="005D0294">
        <w:rPr>
          <w:rFonts w:ascii="Times New Roman" w:hAnsi="Times New Roman"/>
        </w:rPr>
        <w:t>are</w:t>
      </w:r>
      <w:r w:rsidRPr="005D0294">
        <w:rPr>
          <w:rFonts w:ascii="Times New Roman" w:hAnsi="Times New Roman"/>
        </w:rPr>
        <w:t xml:space="preserve"> considered legally admitted according to the policies of the board of Schools if they provided paperwork that indicated legal existence in the USA or if the federal immigration officials agreed that they were pro-school students</w:t>
      </w:r>
      <w:r w:rsidR="00E435EC" w:rsidRPr="005D0294">
        <w:rPr>
          <w:rFonts w:ascii="Times New Roman" w:hAnsi="Times New Roman"/>
        </w:rPr>
        <w:t>.</w:t>
      </w:r>
    </w:p>
    <w:p w14:paraId="223BA8B1" w14:textId="03438277" w:rsidR="00E435EC" w:rsidRPr="005D0294" w:rsidRDefault="00E435EC" w:rsidP="005D0294">
      <w:pPr>
        <w:ind w:firstLine="720"/>
        <w:rPr>
          <w:rFonts w:ascii="Times New Roman" w:hAnsi="Times New Roman"/>
        </w:rPr>
      </w:pPr>
      <w:r w:rsidRPr="005D0294">
        <w:rPr>
          <w:rFonts w:ascii="Times New Roman" w:hAnsi="Times New Roman"/>
        </w:rPr>
        <w:t xml:space="preserve">Furthermore, afterwards, a class action lawsuit criticizing the program was filed by the Mexican students who could not agree that they were "legally accepted." On the grounds of detailed legal evidence, the District Court ruled that the program was in violation of the Constitution and was also "prevented" under federal immigration law, and although the ruling rested on constitutional instead of protective grounds, a Federal Appeals Court affirmed the </w:t>
      </w:r>
      <w:r w:rsidRPr="005D0294">
        <w:rPr>
          <w:rFonts w:ascii="Times New Roman" w:hAnsi="Times New Roman"/>
        </w:rPr>
        <w:lastRenderedPageBreak/>
        <w:t>injunction</w:t>
      </w:r>
      <w:r w:rsidR="005D0294">
        <w:rPr>
          <w:rFonts w:ascii="Times New Roman" w:hAnsi="Times New Roman"/>
        </w:rPr>
        <w:fldChar w:fldCharType="begin"/>
      </w:r>
      <w:r w:rsidR="005D0294">
        <w:rPr>
          <w:rFonts w:ascii="Times New Roman" w:hAnsi="Times New Roman"/>
        </w:rPr>
        <w:instrText xml:space="preserve"> ADDIN ZOTERO_ITEM CSL_CITATION {"citationID":"yOhJVpvs","properties":{"formattedCitation":"(Radoff, 2011)","plainCitation":"(Radoff, 2011)","noteIndex":0},"citationItems":[{"id":114,"uris":["http://zotero.org/users/6263337/items/VD5VZCBZ"],"uri":["http://zotero.org/users/6263337/items/VD5VZCBZ"],"itemData":{"id":114,"type":"article-journal","abstract":"In this article, I show that the intersection between education policy and immigration law in the United States sustains a permanent underclass and reinforces the deliberate disenfranchisement of students without authorized immigration status. I critically analyze the Supreme Court case Plyler s. Doe, and I suggest the DREAM Act as a means for these students to secure a right to rights for economic, social, and political agency. At the heart of the argument is my assertion that domiciled residency ought to ensure these students’ right to educational equity within the United States, from preschool through postsecondary levels. Throughout, I reflect on the amassing group of well-educated students, whose papers are diplomas, and who increasingly make apparent the futility of citizenship status for demarcating possibilities for mobile border crossing—not only territorial borders, but also the walls built up to obstruct class and social border crossings.","container-title":"Educational Studies","DOI":"10.1080/00131946.2011.602149","ISSN":"0013-1946","issue":"5","note":"publisher: Routledge\n_eprint: https://doi.org/10.1080/00131946.2011.602149","page":"436-450","source":"Taylor and Francis+NEJM","title":"Crossing the Borders of Plyler v. Doe: Students without Documentation and their Right to Rights","title-short":"Crossing the Borders of Plyler v. Doe","volume":"47","author":[{"family":"Radoff","given":"Sara"}],"issued":{"date-parts":[["2011",9,1]]}}}],"schema":"https://github.com/citation-style-language/schema/raw/master/csl-citation.json"} </w:instrText>
      </w:r>
      <w:r w:rsidR="005D0294">
        <w:rPr>
          <w:rFonts w:ascii="Times New Roman" w:hAnsi="Times New Roman"/>
        </w:rPr>
        <w:fldChar w:fldCharType="separate"/>
      </w:r>
      <w:r w:rsidR="005D0294" w:rsidRPr="005D0294">
        <w:rPr>
          <w:rFonts w:ascii="Times New Roman" w:hAnsi="Times New Roman"/>
        </w:rPr>
        <w:t>(Radoff, 2011)</w:t>
      </w:r>
      <w:r w:rsidR="005D0294">
        <w:rPr>
          <w:rFonts w:ascii="Times New Roman" w:hAnsi="Times New Roman"/>
        </w:rPr>
        <w:fldChar w:fldCharType="end"/>
      </w:r>
      <w:r w:rsidRPr="005D0294">
        <w:rPr>
          <w:rFonts w:ascii="Times New Roman" w:hAnsi="Times New Roman"/>
        </w:rPr>
        <w:t xml:space="preserve">. The school district later filed a request for review with the Supreme Court. </w:t>
      </w:r>
    </w:p>
    <w:p w14:paraId="7CA5FB0B" w14:textId="07C312D2" w:rsidR="00E73D08" w:rsidRPr="002200B7" w:rsidRDefault="00E73D08" w:rsidP="002200B7">
      <w:pPr>
        <w:jc w:val="center"/>
        <w:rPr>
          <w:rFonts w:ascii="Times New Roman" w:hAnsi="Times New Roman"/>
          <w:b/>
        </w:rPr>
      </w:pPr>
      <w:r w:rsidRPr="002200B7">
        <w:rPr>
          <w:rFonts w:ascii="Times New Roman" w:hAnsi="Times New Roman"/>
          <w:b/>
        </w:rPr>
        <w:t xml:space="preserve">Bases of the </w:t>
      </w:r>
      <w:r w:rsidR="005D0294" w:rsidRPr="002200B7">
        <w:rPr>
          <w:rFonts w:ascii="Times New Roman" w:hAnsi="Times New Roman"/>
          <w:b/>
        </w:rPr>
        <w:t>R</w:t>
      </w:r>
      <w:r w:rsidRPr="002200B7">
        <w:rPr>
          <w:rFonts w:ascii="Times New Roman" w:hAnsi="Times New Roman"/>
          <w:b/>
        </w:rPr>
        <w:t>uling</w:t>
      </w:r>
    </w:p>
    <w:p w14:paraId="765C8276" w14:textId="5D28CB9A" w:rsidR="00E73D08" w:rsidRPr="005D0294" w:rsidRDefault="00253E02" w:rsidP="005D0294">
      <w:pPr>
        <w:ind w:firstLine="720"/>
        <w:rPr>
          <w:rFonts w:ascii="Times New Roman" w:hAnsi="Times New Roman"/>
        </w:rPr>
      </w:pPr>
      <w:r w:rsidRPr="005D0294">
        <w:rPr>
          <w:rFonts w:ascii="Times New Roman" w:hAnsi="Times New Roman"/>
        </w:rPr>
        <w:t xml:space="preserve">The </w:t>
      </w:r>
      <w:r w:rsidR="004E23F9" w:rsidRPr="005D0294">
        <w:rPr>
          <w:rFonts w:ascii="Times New Roman" w:hAnsi="Times New Roman"/>
        </w:rPr>
        <w:t xml:space="preserve">14th U.S. Amendment </w:t>
      </w:r>
      <w:r w:rsidRPr="005D0294">
        <w:rPr>
          <w:rFonts w:ascii="Times New Roman" w:hAnsi="Times New Roman"/>
        </w:rPr>
        <w:t xml:space="preserve">was based on the </w:t>
      </w:r>
      <w:r w:rsidR="004E23F9" w:rsidRPr="005D0294">
        <w:rPr>
          <w:rFonts w:ascii="Times New Roman" w:hAnsi="Times New Roman"/>
        </w:rPr>
        <w:t xml:space="preserve">Court's decision </w:t>
      </w:r>
      <w:r w:rsidRPr="005D0294">
        <w:rPr>
          <w:rFonts w:ascii="Times New Roman" w:hAnsi="Times New Roman"/>
        </w:rPr>
        <w:t xml:space="preserve">referring to a provision commonly known as Equal Protection Clause. A constitution that says in its section that, </w:t>
      </w:r>
      <w:r w:rsidR="004E23F9" w:rsidRPr="005D0294">
        <w:rPr>
          <w:rFonts w:ascii="Times New Roman" w:hAnsi="Times New Roman"/>
        </w:rPr>
        <w:t>"</w:t>
      </w:r>
      <w:r w:rsidRPr="005D0294">
        <w:rPr>
          <w:rFonts w:ascii="Times New Roman" w:hAnsi="Times New Roman"/>
        </w:rPr>
        <w:t>No State shall … deny to any person within its jurisdiction the equal protection of the laws.</w:t>
      </w:r>
      <w:r w:rsidR="004E23F9" w:rsidRPr="005D0294">
        <w:rPr>
          <w:rFonts w:ascii="Times New Roman" w:hAnsi="Times New Roman"/>
        </w:rPr>
        <w:t>"</w:t>
      </w:r>
      <w:r w:rsidRPr="005D0294">
        <w:rPr>
          <w:rFonts w:ascii="Times New Roman" w:hAnsi="Times New Roman"/>
        </w:rPr>
        <w:t xml:space="preserve"> The Court held that if States offer U.S. people free public education and legally incorporate international births into law</w:t>
      </w:r>
      <w:r w:rsidR="004E23F9" w:rsidRPr="005D0294">
        <w:rPr>
          <w:rFonts w:ascii="Times New Roman" w:hAnsi="Times New Roman"/>
        </w:rPr>
        <w:t>,</w:t>
      </w:r>
      <w:r w:rsidRPr="005D0294">
        <w:rPr>
          <w:rFonts w:ascii="Times New Roman" w:hAnsi="Times New Roman"/>
        </w:rPr>
        <w:t xml:space="preserve"> then such </w:t>
      </w:r>
      <w:r w:rsidR="004E23F9" w:rsidRPr="005D0294">
        <w:rPr>
          <w:rFonts w:ascii="Times New Roman" w:hAnsi="Times New Roman"/>
        </w:rPr>
        <w:t>learning</w:t>
      </w:r>
      <w:r w:rsidRPr="005D0294">
        <w:rPr>
          <w:rFonts w:ascii="Times New Roman" w:hAnsi="Times New Roman"/>
        </w:rPr>
        <w:t xml:space="preserve"> cannot be denied to unauthorized children. The Court found that there was no rational basis for the school district to refuse that children had a public education dependent on their immigration status, as this approach would harm them and culture as a whole</w:t>
      </w:r>
      <w:r w:rsidR="005D0294">
        <w:rPr>
          <w:rFonts w:ascii="Times New Roman" w:hAnsi="Times New Roman"/>
        </w:rPr>
        <w:fldChar w:fldCharType="begin"/>
      </w:r>
      <w:r w:rsidR="005D0294">
        <w:rPr>
          <w:rFonts w:ascii="Times New Roman" w:hAnsi="Times New Roman"/>
        </w:rPr>
        <w:instrText xml:space="preserve"> ADDIN ZOTERO_ITEM CSL_CITATION {"citationID":"M2eLEvm1","properties":{"formattedCitation":"(Soleimani, 2010)","plainCitation":"(Soleimani, 2010)","noteIndex":0},"citationItems":[{"id":116,"uris":["http://zotero.org/users/6263337/items/ZH93PKEV"],"uri":["http://zotero.org/users/6263337/items/ZH93PKEV"],"itemData":{"id":116,"type":"article-journal","container-title":"Georgetown Immigration Law Journal","journalAbbreviation":"Geo. Immigr. L.J.","page":"195","title":"Plyler in Peril: Why the Supreme Court's Decision in Plyler v. Doe is at risk of being Reversed - and What Congress Should Do about It","title-short":"Plyler in Peril","volume":"25","author":[{"family":"Soleimani","given":"Dan"}],"issued":{"date-parts":[["2010"]],"season":"2011"}}}],"schema":"https://github.com/citation-style-language/schema/raw/master/csl-citation.json"} </w:instrText>
      </w:r>
      <w:r w:rsidR="005D0294">
        <w:rPr>
          <w:rFonts w:ascii="Times New Roman" w:hAnsi="Times New Roman"/>
        </w:rPr>
        <w:fldChar w:fldCharType="separate"/>
      </w:r>
      <w:r w:rsidR="005D0294" w:rsidRPr="005D0294">
        <w:rPr>
          <w:rFonts w:ascii="Times New Roman" w:hAnsi="Times New Roman"/>
        </w:rPr>
        <w:t>(Soleimani, 2010)</w:t>
      </w:r>
      <w:r w:rsidR="005D0294">
        <w:rPr>
          <w:rFonts w:ascii="Times New Roman" w:hAnsi="Times New Roman"/>
        </w:rPr>
        <w:fldChar w:fldCharType="end"/>
      </w:r>
      <w:r w:rsidRPr="005D0294">
        <w:rPr>
          <w:rFonts w:ascii="Times New Roman" w:hAnsi="Times New Roman"/>
        </w:rPr>
        <w:t>. Besides, keeping children accountable for their actions, do</w:t>
      </w:r>
      <w:r w:rsidR="00991FB9" w:rsidRPr="005D0294">
        <w:rPr>
          <w:rFonts w:ascii="Times New Roman" w:hAnsi="Times New Roman"/>
        </w:rPr>
        <w:t>es</w:t>
      </w:r>
      <w:r w:rsidRPr="005D0294">
        <w:rPr>
          <w:rFonts w:ascii="Times New Roman" w:hAnsi="Times New Roman"/>
        </w:rPr>
        <w:t xml:space="preserve"> not express fundamental conceptions of justice by refusing these children </w:t>
      </w:r>
      <w:r w:rsidR="004E23F9" w:rsidRPr="005D0294">
        <w:rPr>
          <w:rFonts w:ascii="Times New Roman" w:hAnsi="Times New Roman"/>
        </w:rPr>
        <w:t>essenti</w:t>
      </w:r>
      <w:r w:rsidRPr="005D0294">
        <w:rPr>
          <w:rFonts w:ascii="Times New Roman" w:hAnsi="Times New Roman"/>
        </w:rPr>
        <w:t>al schooling, and we are negating them to reside within the framework of our civic institutions</w:t>
      </w:r>
      <w:r w:rsidR="004E23F9" w:rsidRPr="005D0294">
        <w:rPr>
          <w:rFonts w:ascii="Times New Roman" w:hAnsi="Times New Roman"/>
        </w:rPr>
        <w:t>,</w:t>
      </w:r>
      <w:r w:rsidRPr="005D0294">
        <w:rPr>
          <w:rFonts w:ascii="Times New Roman" w:hAnsi="Times New Roman"/>
        </w:rPr>
        <w:t xml:space="preserve"> and we </w:t>
      </w:r>
      <w:r w:rsidR="004E23F9" w:rsidRPr="005D0294">
        <w:rPr>
          <w:rFonts w:ascii="Times New Roman" w:hAnsi="Times New Roman"/>
        </w:rPr>
        <w:t>deny</w:t>
      </w:r>
      <w:r w:rsidRPr="005D0294">
        <w:rPr>
          <w:rFonts w:ascii="Times New Roman" w:hAnsi="Times New Roman"/>
        </w:rPr>
        <w:t xml:space="preserve"> them any possible chance to contribute in even the most minor way to the development of our country.</w:t>
      </w:r>
    </w:p>
    <w:p w14:paraId="56943B39" w14:textId="1A77D1FF" w:rsidR="007642EB" w:rsidRPr="005D0294" w:rsidRDefault="00AA3B02" w:rsidP="005D0294">
      <w:pPr>
        <w:ind w:firstLine="720"/>
        <w:rPr>
          <w:rFonts w:ascii="Times New Roman" w:hAnsi="Times New Roman"/>
        </w:rPr>
      </w:pPr>
      <w:r w:rsidRPr="005D0294">
        <w:rPr>
          <w:rFonts w:ascii="Times New Roman" w:hAnsi="Times New Roman"/>
        </w:rPr>
        <w:t xml:space="preserve">In the ruling of the Plyler v. Doe case, the </w:t>
      </w:r>
      <w:r w:rsidR="004E23F9" w:rsidRPr="005D0294">
        <w:rPr>
          <w:rFonts w:ascii="Times New Roman" w:hAnsi="Times New Roman"/>
        </w:rPr>
        <w:t>C</w:t>
      </w:r>
      <w:r w:rsidRPr="005D0294">
        <w:rPr>
          <w:rFonts w:ascii="Times New Roman" w:hAnsi="Times New Roman"/>
        </w:rPr>
        <w:t>ourt never suggest that undocumented children should be prevented from attending school</w:t>
      </w:r>
      <w:r w:rsidR="004E23F9" w:rsidRPr="005D0294">
        <w:rPr>
          <w:rFonts w:ascii="Times New Roman" w:hAnsi="Times New Roman"/>
        </w:rPr>
        <w:t>;</w:t>
      </w:r>
      <w:r w:rsidRPr="005D0294">
        <w:rPr>
          <w:rFonts w:ascii="Times New Roman" w:hAnsi="Times New Roman"/>
        </w:rPr>
        <w:t xml:space="preserve"> instead, dissent acknowledged that "the risk, over a longer</w:t>
      </w:r>
      <w:r w:rsidR="004E23F9" w:rsidRPr="005D0294">
        <w:rPr>
          <w:rFonts w:ascii="Times New Roman" w:hAnsi="Times New Roman"/>
        </w:rPr>
        <w:t>-</w:t>
      </w:r>
      <w:r w:rsidRPr="005D0294">
        <w:rPr>
          <w:rFonts w:ascii="Times New Roman" w:hAnsi="Times New Roman"/>
        </w:rPr>
        <w:t xml:space="preserve">term, of excluding all children from public schools might well outweigh the cost of education "it is unreasonable for an enlightened society to deny every child including unauthorized immigrants of elementary education." The dissent argues that the Court would defer to the policy of the school district for the reason that the </w:t>
      </w:r>
      <w:r w:rsidR="004E23F9" w:rsidRPr="005D0294">
        <w:rPr>
          <w:rFonts w:ascii="Times New Roman" w:hAnsi="Times New Roman"/>
        </w:rPr>
        <w:t>C</w:t>
      </w:r>
      <w:r w:rsidRPr="005D0294">
        <w:rPr>
          <w:rFonts w:ascii="Times New Roman" w:hAnsi="Times New Roman"/>
        </w:rPr>
        <w:t>onstitution did not officially prevent discrimination against unlawfully prevented immigrants.</w:t>
      </w:r>
    </w:p>
    <w:p w14:paraId="1851EAD3" w14:textId="2586D287" w:rsidR="001C2945" w:rsidRPr="005D0294" w:rsidRDefault="001C2945" w:rsidP="005D0294">
      <w:pPr>
        <w:ind w:firstLine="720"/>
        <w:rPr>
          <w:rFonts w:ascii="Times New Roman" w:hAnsi="Times New Roman"/>
        </w:rPr>
      </w:pPr>
      <w:r w:rsidRPr="005D0294">
        <w:rPr>
          <w:rFonts w:ascii="Times New Roman" w:hAnsi="Times New Roman"/>
        </w:rPr>
        <w:lastRenderedPageBreak/>
        <w:t>Furthermore, if there was evidence to show that schooling for unregistered children decreases the quality of education for other pupils, the Supreme Court never indicated that its opinion would change.</w:t>
      </w:r>
      <w:r w:rsidR="008F7472" w:rsidRPr="005D0294">
        <w:rPr>
          <w:rFonts w:ascii="Times New Roman" w:hAnsi="Times New Roman"/>
        </w:rPr>
        <w:t xml:space="preserve"> </w:t>
      </w:r>
      <w:r w:rsidR="004E23F9" w:rsidRPr="005D0294">
        <w:rPr>
          <w:rFonts w:ascii="Times New Roman" w:hAnsi="Times New Roman"/>
        </w:rPr>
        <w:t>The m</w:t>
      </w:r>
      <w:r w:rsidR="008F7472" w:rsidRPr="005D0294">
        <w:rPr>
          <w:rFonts w:ascii="Times New Roman" w:hAnsi="Times New Roman"/>
        </w:rPr>
        <w:t xml:space="preserve">ajority acknowledged the assumption </w:t>
      </w:r>
      <w:r w:rsidR="004E23F9" w:rsidRPr="005D0294">
        <w:rPr>
          <w:rFonts w:ascii="Times New Roman" w:hAnsi="Times New Roman"/>
        </w:rPr>
        <w:t>that "</w:t>
      </w:r>
      <w:r w:rsidR="008F7472" w:rsidRPr="005D0294">
        <w:rPr>
          <w:rFonts w:ascii="Times New Roman" w:hAnsi="Times New Roman"/>
        </w:rPr>
        <w:t>illegal children</w:t>
      </w:r>
      <w:r w:rsidR="004E23F9" w:rsidRPr="005D0294">
        <w:rPr>
          <w:rFonts w:ascii="Times New Roman" w:hAnsi="Times New Roman"/>
        </w:rPr>
        <w:t xml:space="preserve"> absence</w:t>
      </w:r>
      <w:r w:rsidR="008F7472" w:rsidRPr="005D0294">
        <w:rPr>
          <w:rFonts w:ascii="Times New Roman" w:hAnsi="Times New Roman"/>
        </w:rPr>
        <w:t xml:space="preserve"> is likely to improve the general quality of education in the State,</w:t>
      </w:r>
      <w:r w:rsidR="004E23F9" w:rsidRPr="005D0294">
        <w:rPr>
          <w:rFonts w:ascii="Times New Roman" w:hAnsi="Times New Roman"/>
        </w:rPr>
        <w:t xml:space="preserve">" </w:t>
      </w:r>
      <w:r w:rsidR="008F7472" w:rsidRPr="005D0294">
        <w:rPr>
          <w:rFonts w:ascii="Times New Roman" w:hAnsi="Times New Roman"/>
        </w:rPr>
        <w:t>did not support the facts in the case. The Court further stated that, though the general quality of education could increase, the school district still had to justify the exclusion of illegal children if one class of children were to be omitted</w:t>
      </w:r>
      <w:r w:rsidR="005D0294">
        <w:rPr>
          <w:rFonts w:ascii="Times New Roman" w:hAnsi="Times New Roman"/>
        </w:rPr>
        <w:t xml:space="preserve"> </w:t>
      </w:r>
      <w:r w:rsidR="005D0294">
        <w:rPr>
          <w:rFonts w:ascii="Times New Roman" w:hAnsi="Times New Roman"/>
        </w:rPr>
        <w:fldChar w:fldCharType="begin"/>
      </w:r>
      <w:r w:rsidR="005D0294">
        <w:rPr>
          <w:rFonts w:ascii="Times New Roman" w:hAnsi="Times New Roman"/>
        </w:rPr>
        <w:instrText xml:space="preserve"> ADDIN ZOTERO_ITEM CSL_CITATION {"citationID":"O49tC6EL","properties":{"formattedCitation":"(Kooragayala, 2019)","plainCitation":"(Kooragayala, 2019)","noteIndex":0},"citationItems":[{"id":124,"uris":["http://zotero.org/users/6263337/items/3JEJIRQS"],"uri":["http://zotero.org/users/6263337/items/3JEJIRQS"],"itemData":{"id":124,"type":"article-journal","container-title":"Northwestern Journal of Law &amp; Social Policy","ISSN":"1557-2447","issue":"1","page":"98","title":"Preschool for All: Plyler V. Doe in The Context of Early Childhood Education","title-short":"Preschool for All","volume":"15","author":[{"family":"Kooragayala","given":"Shiva"}],"issued":{"date-parts":[["2019",10,1]]}}}],"schema":"https://github.com/citation-style-language/schema/raw/master/csl-citation.json"} </w:instrText>
      </w:r>
      <w:r w:rsidR="005D0294">
        <w:rPr>
          <w:rFonts w:ascii="Times New Roman" w:hAnsi="Times New Roman"/>
        </w:rPr>
        <w:fldChar w:fldCharType="separate"/>
      </w:r>
      <w:r w:rsidR="005D0294" w:rsidRPr="005D0294">
        <w:rPr>
          <w:rFonts w:ascii="Times New Roman" w:hAnsi="Times New Roman"/>
        </w:rPr>
        <w:t>(Kooragayala, 2019)</w:t>
      </w:r>
      <w:r w:rsidR="005D0294">
        <w:rPr>
          <w:rFonts w:ascii="Times New Roman" w:hAnsi="Times New Roman"/>
        </w:rPr>
        <w:fldChar w:fldCharType="end"/>
      </w:r>
      <w:r w:rsidR="008F7472" w:rsidRPr="005D0294">
        <w:rPr>
          <w:rFonts w:ascii="Times New Roman" w:hAnsi="Times New Roman"/>
        </w:rPr>
        <w:t xml:space="preserve">. So there is no basis for believing that the Court's ruling was </w:t>
      </w:r>
      <w:r w:rsidR="004E23F9" w:rsidRPr="005D0294">
        <w:rPr>
          <w:rFonts w:ascii="Times New Roman" w:hAnsi="Times New Roman"/>
        </w:rPr>
        <w:t>unique</w:t>
      </w:r>
      <w:r w:rsidR="008F7472" w:rsidRPr="005D0294">
        <w:rPr>
          <w:rFonts w:ascii="Times New Roman" w:hAnsi="Times New Roman"/>
        </w:rPr>
        <w:t>, or that a prospective court might dismiss Plyler if there was proof that</w:t>
      </w:r>
      <w:r w:rsidR="004E23F9" w:rsidRPr="005D0294">
        <w:rPr>
          <w:rFonts w:ascii="Times New Roman" w:hAnsi="Times New Roman"/>
        </w:rPr>
        <w:t xml:space="preserve"> was</w:t>
      </w:r>
      <w:r w:rsidR="008F7472" w:rsidRPr="005D0294">
        <w:rPr>
          <w:rFonts w:ascii="Times New Roman" w:hAnsi="Times New Roman"/>
        </w:rPr>
        <w:t xml:space="preserve"> educating children in unregistered schools decrease the quality of education for other pupils.</w:t>
      </w:r>
    </w:p>
    <w:p w14:paraId="63D3BDFB" w14:textId="4FDF340E" w:rsidR="008F7472" w:rsidRPr="002200B7" w:rsidRDefault="008F7472" w:rsidP="002200B7">
      <w:pPr>
        <w:jc w:val="center"/>
        <w:rPr>
          <w:rFonts w:ascii="Times New Roman" w:hAnsi="Times New Roman"/>
          <w:b/>
        </w:rPr>
      </w:pPr>
      <w:r w:rsidRPr="002200B7">
        <w:rPr>
          <w:rFonts w:ascii="Times New Roman" w:hAnsi="Times New Roman"/>
          <w:b/>
        </w:rPr>
        <w:t xml:space="preserve">Advice to the </w:t>
      </w:r>
      <w:r w:rsidR="004E23F9" w:rsidRPr="002200B7">
        <w:rPr>
          <w:rFonts w:ascii="Times New Roman" w:hAnsi="Times New Roman"/>
          <w:b/>
        </w:rPr>
        <w:t>S</w:t>
      </w:r>
      <w:r w:rsidRPr="002200B7">
        <w:rPr>
          <w:rFonts w:ascii="Times New Roman" w:hAnsi="Times New Roman"/>
          <w:b/>
        </w:rPr>
        <w:t xml:space="preserve">upreme </w:t>
      </w:r>
      <w:r w:rsidR="004E23F9" w:rsidRPr="002200B7">
        <w:rPr>
          <w:rFonts w:ascii="Times New Roman" w:hAnsi="Times New Roman"/>
          <w:b/>
        </w:rPr>
        <w:t>C</w:t>
      </w:r>
      <w:r w:rsidRPr="002200B7">
        <w:rPr>
          <w:rFonts w:ascii="Times New Roman" w:hAnsi="Times New Roman"/>
          <w:b/>
        </w:rPr>
        <w:t>ourt</w:t>
      </w:r>
    </w:p>
    <w:p w14:paraId="2F2C1D24" w14:textId="7F977268" w:rsidR="008F7472" w:rsidRPr="005D0294" w:rsidRDefault="00121C0D" w:rsidP="005D0294">
      <w:pPr>
        <w:ind w:firstLine="720"/>
        <w:rPr>
          <w:rFonts w:ascii="Times New Roman" w:hAnsi="Times New Roman"/>
          <w:shd w:val="clear" w:color="auto" w:fill="FFFFFF"/>
        </w:rPr>
      </w:pPr>
      <w:r w:rsidRPr="005D0294">
        <w:rPr>
          <w:rFonts w:ascii="Times New Roman" w:hAnsi="Times New Roman"/>
        </w:rPr>
        <w:t xml:space="preserve">Having discussed the facts and the ruling bases concerning the Plyler v Doe case, it is evident </w:t>
      </w:r>
      <w:r w:rsidR="004E23F9" w:rsidRPr="005D0294">
        <w:rPr>
          <w:rFonts w:ascii="Times New Roman" w:hAnsi="Times New Roman"/>
        </w:rPr>
        <w:t xml:space="preserve">that </w:t>
      </w:r>
      <w:r w:rsidRPr="005D0294">
        <w:rPr>
          <w:rFonts w:ascii="Times New Roman" w:hAnsi="Times New Roman"/>
        </w:rPr>
        <w:t xml:space="preserve">even when the schools allow unlawful children to </w:t>
      </w:r>
      <w:proofErr w:type="spellStart"/>
      <w:r w:rsidRPr="005D0294">
        <w:rPr>
          <w:rFonts w:ascii="Times New Roman" w:hAnsi="Times New Roman"/>
        </w:rPr>
        <w:t>enrol</w:t>
      </w:r>
      <w:proofErr w:type="spellEnd"/>
      <w:r w:rsidRPr="005D0294">
        <w:rPr>
          <w:rFonts w:ascii="Times New Roman" w:hAnsi="Times New Roman"/>
        </w:rPr>
        <w:t>, it is a poor policy and potentially illegal to gather and report information about their immigration status. Although such steps may be targeted at collecting accurate numbers of schoolchildren that have been unauthorized, their introduction may</w:t>
      </w:r>
      <w:r w:rsidR="004E23F9" w:rsidRPr="005D0294">
        <w:rPr>
          <w:rFonts w:ascii="Times New Roman" w:hAnsi="Times New Roman"/>
        </w:rPr>
        <w:t>,</w:t>
      </w:r>
      <w:r w:rsidRPr="005D0294">
        <w:rPr>
          <w:rFonts w:ascii="Times New Roman" w:hAnsi="Times New Roman"/>
        </w:rPr>
        <w:t xml:space="preserve"> in the first instance discourage immigrant families from enrolling their children. For starters, according to the Alabama State estimates, over 13 per cent of the </w:t>
      </w:r>
      <w:r w:rsidR="004E23F9" w:rsidRPr="005D0294">
        <w:rPr>
          <w:rFonts w:ascii="Times New Roman" w:hAnsi="Times New Roman"/>
        </w:rPr>
        <w:t>S</w:t>
      </w:r>
      <w:r w:rsidRPr="005D0294">
        <w:rPr>
          <w:rFonts w:ascii="Times New Roman" w:hAnsi="Times New Roman"/>
        </w:rPr>
        <w:t>tate's Latino pupils graduated from public schools from September 2011 to February 2012 even though the overall number of immigrants in Alabama schools was less than 0.5 per cent</w:t>
      </w:r>
      <w:r w:rsidR="005D0294">
        <w:rPr>
          <w:rFonts w:ascii="Times New Roman" w:hAnsi="Times New Roman"/>
        </w:rPr>
        <w:t xml:space="preserve"> </w:t>
      </w:r>
      <w:r w:rsidR="005D0294">
        <w:rPr>
          <w:rFonts w:ascii="Times New Roman" w:hAnsi="Times New Roman"/>
        </w:rPr>
        <w:fldChar w:fldCharType="begin"/>
      </w:r>
      <w:r w:rsidR="005D0294">
        <w:rPr>
          <w:rFonts w:ascii="Times New Roman" w:hAnsi="Times New Roman"/>
        </w:rPr>
        <w:instrText xml:space="preserve"> ADDIN ZOTERO_ITEM CSL_CITATION {"citationID":"OfGOf2kD","properties":{"formattedCitation":"(Feinberg et al., 2014)","plainCitation":"(Feinberg et al., 2014)","noteIndex":0},"citationItems":[{"id":122,"uris":["http://zotero.org/users/6263337/items/F45DU395"],"uri":["http://zotero.org/users/6263337/items/F45DU395"],"itemData":{"id":122,"type":"article-journal","abstract":"When the Texas state legislature passed a law in the 1970s allowing school districts to deny enrollment or charge tuition to illegal immigrant children, the Tyler Independent School District instituted a $1,000 tuition rate for illegal immigrant children. Sixteen undocumented children from four Mexican families in Tyler filed a class-action suit in 1977 against the superintendent, James Plyler. They won their case when the federal district court judge (with the serendipitous name of William Wayne Justice) ruled that the Texas law violated the Equal Protection clause of the Fourteenth Amendment. Justice's ruling was upheld in the landmark Supreme Court case \"Plyler v. Doe\" in 1982. In \"Plyler v. Doe,\" the U.S. Supreme Court ruled that the Equal Protection clause of the Fourteenth Amendment guaranteed all children the right to a public education regardless of their immigration status. Yet attempts to deny rights to undocumented immigrants have persisted. Thirty years later, as the controversy surrounding \"Plyler v. Doe\" continues to resonate, studying the court's ruling provides a genuine educational opportunity for civics and social studies students to critically debate and role play the merits of the case. This article describes how the authors used a mock trial activity with high school students to simulate \"Plyler v. Doe\" to help their students develop a deeper understanding and appreciation of the Equal Protection clause of the Fourteenth Amendment and the immigration issues embodied in \"Plyler v. Doe.\" Resources that provide teachers with background knowledge and tools to run their own mock trial are presented.","container-title":"Social Education","ISSN":"0037-7724","issue":"4","language":"en","note":"publisher: National Council for the Social Studies","page":"183-188","source":"ERIC","title":"Equal Protection, Immigration, and Education: \"Plyler v. Doe\"","title-short":"Equal Protection, Immigration, and Education","volume":"78","author":[{"family":"Feinberg","given":"Joseph R."},{"family":"Doppen","given":"Frans H."},{"family":"Hollstein","given":"Matthew S."}],"issued":{"date-parts":[["2014",9]]}}}],"schema":"https://github.com/citation-style-language/schema/raw/master/csl-citation.json"} </w:instrText>
      </w:r>
      <w:r w:rsidR="005D0294">
        <w:rPr>
          <w:rFonts w:ascii="Times New Roman" w:hAnsi="Times New Roman"/>
        </w:rPr>
        <w:fldChar w:fldCharType="separate"/>
      </w:r>
      <w:r w:rsidR="005D0294" w:rsidRPr="005D0294">
        <w:rPr>
          <w:rFonts w:ascii="Times New Roman" w:hAnsi="Times New Roman"/>
        </w:rPr>
        <w:t>(Feinberg et al., 2014)</w:t>
      </w:r>
      <w:r w:rsidR="005D0294">
        <w:rPr>
          <w:rFonts w:ascii="Times New Roman" w:hAnsi="Times New Roman"/>
        </w:rPr>
        <w:fldChar w:fldCharType="end"/>
      </w:r>
      <w:r w:rsidRPr="005D0294">
        <w:rPr>
          <w:rFonts w:ascii="Times New Roman" w:hAnsi="Times New Roman"/>
        </w:rPr>
        <w:t xml:space="preserve">. Therefore, </w:t>
      </w:r>
      <w:r w:rsidRPr="005D0294">
        <w:rPr>
          <w:rFonts w:ascii="Times New Roman" w:hAnsi="Times New Roman"/>
          <w:shd w:val="clear" w:color="auto" w:fill="FFFFFF"/>
        </w:rPr>
        <w:t xml:space="preserve">the effect of such measures is to prevent </w:t>
      </w:r>
      <w:r w:rsidR="004E23F9" w:rsidRPr="005D0294">
        <w:rPr>
          <w:rFonts w:ascii="Times New Roman" w:hAnsi="Times New Roman"/>
          <w:shd w:val="clear" w:color="auto" w:fill="FFFFFF"/>
        </w:rPr>
        <w:t xml:space="preserve">the </w:t>
      </w:r>
      <w:r w:rsidRPr="005D0294">
        <w:rPr>
          <w:rFonts w:ascii="Times New Roman" w:hAnsi="Times New Roman"/>
          <w:shd w:val="clear" w:color="auto" w:fill="FFFFFF"/>
        </w:rPr>
        <w:t>enrollment of children with undocumented parents or other family members, even if the children are themselves U.S. citizens.</w:t>
      </w:r>
    </w:p>
    <w:p w14:paraId="265720FF" w14:textId="3346D5F7" w:rsidR="00121C0D" w:rsidRPr="005D0294" w:rsidRDefault="00121C0D" w:rsidP="005D0294">
      <w:pPr>
        <w:ind w:firstLine="720"/>
        <w:rPr>
          <w:rFonts w:ascii="Times New Roman" w:hAnsi="Times New Roman"/>
          <w:shd w:val="clear" w:color="auto" w:fill="FFFFFF"/>
        </w:rPr>
      </w:pPr>
      <w:r w:rsidRPr="005D0294">
        <w:rPr>
          <w:rFonts w:ascii="Times New Roman" w:hAnsi="Times New Roman"/>
          <w:shd w:val="clear" w:color="auto" w:fill="FFFFFF"/>
        </w:rPr>
        <w:t xml:space="preserve">Moreover, </w:t>
      </w:r>
      <w:r w:rsidR="00AE200B" w:rsidRPr="005D0294">
        <w:rPr>
          <w:rFonts w:ascii="Times New Roman" w:hAnsi="Times New Roman"/>
          <w:shd w:val="clear" w:color="auto" w:fill="FFFFFF"/>
        </w:rPr>
        <w:t xml:space="preserve">causing an increase in absenteeism rates, initiatives such as Alabama require untrained school officials to make difficult decisions about immigration status; eroding </w:t>
      </w:r>
      <w:r w:rsidR="00AE200B" w:rsidRPr="005D0294">
        <w:rPr>
          <w:rFonts w:ascii="Times New Roman" w:hAnsi="Times New Roman"/>
          <w:shd w:val="clear" w:color="auto" w:fill="FFFFFF"/>
        </w:rPr>
        <w:lastRenderedPageBreak/>
        <w:t xml:space="preserve">instructor, educator and other school staff from immigrant students ' confidence; </w:t>
      </w:r>
      <w:r w:rsidR="005D0294" w:rsidRPr="005D0294">
        <w:rPr>
          <w:rFonts w:ascii="Times New Roman" w:hAnsi="Times New Roman"/>
          <w:shd w:val="clear" w:color="auto" w:fill="FFFFFF"/>
        </w:rPr>
        <w:t xml:space="preserve">and </w:t>
      </w:r>
      <w:r w:rsidR="00AE200B" w:rsidRPr="005D0294">
        <w:rPr>
          <w:rFonts w:ascii="Times New Roman" w:hAnsi="Times New Roman"/>
          <w:shd w:val="clear" w:color="auto" w:fill="FFFFFF"/>
        </w:rPr>
        <w:t>generating heightened racial and ethnic discrimination potential. Th</w:t>
      </w:r>
      <w:r w:rsidR="004E23F9" w:rsidRPr="005D0294">
        <w:rPr>
          <w:rFonts w:ascii="Times New Roman" w:hAnsi="Times New Roman"/>
          <w:shd w:val="clear" w:color="auto" w:fill="FFFFFF"/>
        </w:rPr>
        <w:t>is</w:t>
      </w:r>
      <w:r w:rsidR="00AE200B" w:rsidRPr="005D0294">
        <w:rPr>
          <w:rFonts w:ascii="Times New Roman" w:hAnsi="Times New Roman"/>
          <w:shd w:val="clear" w:color="auto" w:fill="FFFFFF"/>
        </w:rPr>
        <w:t xml:space="preserve"> </w:t>
      </w:r>
      <w:proofErr w:type="spellStart"/>
      <w:r w:rsidR="00AE200B" w:rsidRPr="005D0294">
        <w:rPr>
          <w:rFonts w:ascii="Times New Roman" w:hAnsi="Times New Roman"/>
          <w:shd w:val="clear" w:color="auto" w:fill="FFFFFF"/>
        </w:rPr>
        <w:t>behavio</w:t>
      </w:r>
      <w:r w:rsidR="004E23F9" w:rsidRPr="005D0294">
        <w:rPr>
          <w:rFonts w:ascii="Times New Roman" w:hAnsi="Times New Roman"/>
          <w:shd w:val="clear" w:color="auto" w:fill="FFFFFF"/>
        </w:rPr>
        <w:t>u</w:t>
      </w:r>
      <w:r w:rsidR="00AE200B" w:rsidRPr="005D0294">
        <w:rPr>
          <w:rFonts w:ascii="Times New Roman" w:hAnsi="Times New Roman"/>
          <w:shd w:val="clear" w:color="auto" w:fill="FFFFFF"/>
        </w:rPr>
        <w:t>r</w:t>
      </w:r>
      <w:proofErr w:type="spellEnd"/>
      <w:r w:rsidR="00AE200B" w:rsidRPr="005D0294">
        <w:rPr>
          <w:rFonts w:ascii="Times New Roman" w:hAnsi="Times New Roman"/>
          <w:shd w:val="clear" w:color="auto" w:fill="FFFFFF"/>
        </w:rPr>
        <w:t xml:space="preserve"> may also contribute to alleged infringement of the Family Educational Rights and Policy, which forbids schools from leaking information in student data without parental consent.</w:t>
      </w:r>
      <w:r w:rsidR="004E23F9" w:rsidRPr="005D0294">
        <w:rPr>
          <w:rFonts w:ascii="Times New Roman" w:hAnsi="Times New Roman"/>
          <w:shd w:val="clear" w:color="auto" w:fill="FFFFFF"/>
        </w:rPr>
        <w:t xml:space="preserve"> Therefore the reconsideration of the Plyler v Doe would deem unnecessary.</w:t>
      </w:r>
    </w:p>
    <w:p w14:paraId="3F8B3B0C" w14:textId="5B651ECA" w:rsidR="005D0294" w:rsidRPr="005D0294" w:rsidRDefault="005D0294" w:rsidP="005D0294">
      <w:pPr>
        <w:ind w:firstLine="720"/>
        <w:rPr>
          <w:rFonts w:ascii="Times New Roman" w:hAnsi="Times New Roman"/>
          <w:color w:val="2C3E50"/>
          <w:shd w:val="clear" w:color="auto" w:fill="FFFFFF"/>
        </w:rPr>
      </w:pPr>
    </w:p>
    <w:p w14:paraId="515B06A5" w14:textId="2C1ACAEC" w:rsidR="005D0294" w:rsidRPr="005D0294" w:rsidRDefault="005D0294" w:rsidP="005D0294">
      <w:pPr>
        <w:ind w:firstLine="720"/>
        <w:rPr>
          <w:rFonts w:ascii="Times New Roman" w:hAnsi="Times New Roman"/>
          <w:color w:val="2C3E50"/>
          <w:shd w:val="clear" w:color="auto" w:fill="FFFFFF"/>
        </w:rPr>
      </w:pPr>
    </w:p>
    <w:p w14:paraId="1AE7978E" w14:textId="41ADD191" w:rsidR="005D0294" w:rsidRPr="005D0294" w:rsidRDefault="005D0294" w:rsidP="005D0294">
      <w:pPr>
        <w:ind w:firstLine="720"/>
        <w:rPr>
          <w:rFonts w:ascii="Times New Roman" w:hAnsi="Times New Roman"/>
          <w:color w:val="2C3E50"/>
          <w:shd w:val="clear" w:color="auto" w:fill="FFFFFF"/>
        </w:rPr>
      </w:pPr>
    </w:p>
    <w:p w14:paraId="444D7D3E" w14:textId="6BCA9DFF" w:rsidR="005D0294" w:rsidRPr="005D0294" w:rsidRDefault="005D0294" w:rsidP="005D0294">
      <w:pPr>
        <w:ind w:firstLine="720"/>
        <w:rPr>
          <w:rFonts w:ascii="Times New Roman" w:hAnsi="Times New Roman"/>
          <w:color w:val="2C3E50"/>
          <w:shd w:val="clear" w:color="auto" w:fill="FFFFFF"/>
        </w:rPr>
      </w:pPr>
    </w:p>
    <w:p w14:paraId="571C1DBF" w14:textId="6CAE079E" w:rsidR="005D0294" w:rsidRPr="005D0294" w:rsidRDefault="005D0294" w:rsidP="005D0294">
      <w:pPr>
        <w:ind w:firstLine="720"/>
        <w:rPr>
          <w:rFonts w:ascii="Times New Roman" w:hAnsi="Times New Roman"/>
          <w:color w:val="2C3E50"/>
          <w:shd w:val="clear" w:color="auto" w:fill="FFFFFF"/>
        </w:rPr>
      </w:pPr>
    </w:p>
    <w:p w14:paraId="6B67336E" w14:textId="712CE6B0" w:rsidR="005D0294" w:rsidRPr="005D0294" w:rsidRDefault="005D0294" w:rsidP="005D0294">
      <w:pPr>
        <w:ind w:firstLine="720"/>
        <w:rPr>
          <w:rFonts w:ascii="Times New Roman" w:hAnsi="Times New Roman"/>
          <w:color w:val="2C3E50"/>
          <w:shd w:val="clear" w:color="auto" w:fill="FFFFFF"/>
        </w:rPr>
      </w:pPr>
    </w:p>
    <w:p w14:paraId="629AE526" w14:textId="6B55BC57" w:rsidR="005D0294" w:rsidRPr="005D0294" w:rsidRDefault="005D0294" w:rsidP="005D0294">
      <w:pPr>
        <w:ind w:firstLine="720"/>
        <w:rPr>
          <w:rFonts w:ascii="Times New Roman" w:hAnsi="Times New Roman"/>
          <w:color w:val="2C3E50"/>
          <w:shd w:val="clear" w:color="auto" w:fill="FFFFFF"/>
        </w:rPr>
      </w:pPr>
    </w:p>
    <w:p w14:paraId="53275821" w14:textId="276CD403" w:rsidR="005D0294" w:rsidRPr="005D0294" w:rsidRDefault="005D0294" w:rsidP="005D0294">
      <w:pPr>
        <w:ind w:firstLine="720"/>
        <w:rPr>
          <w:rFonts w:ascii="Times New Roman" w:hAnsi="Times New Roman"/>
          <w:color w:val="2C3E50"/>
          <w:shd w:val="clear" w:color="auto" w:fill="FFFFFF"/>
        </w:rPr>
      </w:pPr>
    </w:p>
    <w:p w14:paraId="150E51C2" w14:textId="61632AB5" w:rsidR="005D0294" w:rsidRPr="005D0294" w:rsidRDefault="005D0294" w:rsidP="005D0294">
      <w:pPr>
        <w:ind w:firstLine="720"/>
        <w:rPr>
          <w:rFonts w:ascii="Times New Roman" w:hAnsi="Times New Roman"/>
          <w:color w:val="2C3E50"/>
          <w:shd w:val="clear" w:color="auto" w:fill="FFFFFF"/>
        </w:rPr>
      </w:pPr>
    </w:p>
    <w:p w14:paraId="346A5A8A" w14:textId="6F20327A" w:rsidR="005D0294" w:rsidRPr="005D0294" w:rsidRDefault="005D0294" w:rsidP="005D0294">
      <w:pPr>
        <w:ind w:firstLine="720"/>
        <w:rPr>
          <w:rFonts w:ascii="Times New Roman" w:hAnsi="Times New Roman"/>
          <w:color w:val="2C3E50"/>
          <w:shd w:val="clear" w:color="auto" w:fill="FFFFFF"/>
        </w:rPr>
      </w:pPr>
    </w:p>
    <w:p w14:paraId="413D6410" w14:textId="6B348975" w:rsidR="005D0294" w:rsidRPr="005D0294" w:rsidRDefault="005D0294" w:rsidP="005D0294">
      <w:pPr>
        <w:ind w:firstLine="720"/>
        <w:rPr>
          <w:rFonts w:ascii="Times New Roman" w:hAnsi="Times New Roman"/>
          <w:color w:val="2C3E50"/>
          <w:shd w:val="clear" w:color="auto" w:fill="FFFFFF"/>
        </w:rPr>
      </w:pPr>
    </w:p>
    <w:p w14:paraId="598A50ED" w14:textId="2A4F8504" w:rsidR="005D0294" w:rsidRPr="005D0294" w:rsidRDefault="005D0294" w:rsidP="005D0294">
      <w:pPr>
        <w:ind w:firstLine="720"/>
        <w:rPr>
          <w:rFonts w:ascii="Times New Roman" w:hAnsi="Times New Roman"/>
          <w:color w:val="2C3E50"/>
          <w:shd w:val="clear" w:color="auto" w:fill="FFFFFF"/>
        </w:rPr>
      </w:pPr>
    </w:p>
    <w:p w14:paraId="47AEBA07" w14:textId="152374A3" w:rsidR="005D0294" w:rsidRPr="005D0294" w:rsidRDefault="005D0294" w:rsidP="005D0294">
      <w:pPr>
        <w:ind w:firstLine="720"/>
        <w:rPr>
          <w:rFonts w:ascii="Times New Roman" w:hAnsi="Times New Roman"/>
          <w:color w:val="2C3E50"/>
          <w:shd w:val="clear" w:color="auto" w:fill="FFFFFF"/>
        </w:rPr>
      </w:pPr>
    </w:p>
    <w:p w14:paraId="0C3E5FBE" w14:textId="4FEBBD49" w:rsidR="005D0294" w:rsidRPr="005D0294" w:rsidRDefault="005D0294" w:rsidP="005D0294">
      <w:pPr>
        <w:ind w:firstLine="720"/>
        <w:rPr>
          <w:rFonts w:ascii="Times New Roman" w:hAnsi="Times New Roman"/>
          <w:color w:val="2C3E50"/>
          <w:shd w:val="clear" w:color="auto" w:fill="FFFFFF"/>
        </w:rPr>
      </w:pPr>
    </w:p>
    <w:p w14:paraId="21C97B61" w14:textId="498EF441" w:rsidR="005D0294" w:rsidRPr="005D0294" w:rsidRDefault="005D0294" w:rsidP="005D0294">
      <w:pPr>
        <w:ind w:firstLine="720"/>
        <w:rPr>
          <w:rFonts w:ascii="Times New Roman" w:hAnsi="Times New Roman"/>
          <w:color w:val="2C3E50"/>
          <w:shd w:val="clear" w:color="auto" w:fill="FFFFFF"/>
        </w:rPr>
      </w:pPr>
    </w:p>
    <w:p w14:paraId="0C3D4E6A" w14:textId="26F5E218" w:rsidR="005D0294" w:rsidRPr="005D0294" w:rsidRDefault="005D0294" w:rsidP="005D0294">
      <w:pPr>
        <w:ind w:firstLine="720"/>
        <w:rPr>
          <w:rFonts w:ascii="Times New Roman" w:hAnsi="Times New Roman"/>
          <w:color w:val="2C3E50"/>
          <w:shd w:val="clear" w:color="auto" w:fill="FFFFFF"/>
        </w:rPr>
      </w:pPr>
    </w:p>
    <w:p w14:paraId="41EF854A" w14:textId="1CD9482B" w:rsidR="005D0294" w:rsidRPr="005D0294" w:rsidRDefault="005D0294" w:rsidP="005D0294">
      <w:pPr>
        <w:ind w:firstLine="720"/>
        <w:rPr>
          <w:rFonts w:ascii="Times New Roman" w:hAnsi="Times New Roman"/>
          <w:color w:val="2C3E50"/>
          <w:shd w:val="clear" w:color="auto" w:fill="FFFFFF"/>
        </w:rPr>
      </w:pPr>
    </w:p>
    <w:p w14:paraId="0B9AB275" w14:textId="77777777" w:rsidR="002200B7" w:rsidRDefault="002200B7" w:rsidP="002200B7">
      <w:pPr>
        <w:rPr>
          <w:rFonts w:ascii="Times New Roman" w:hAnsi="Times New Roman"/>
          <w:color w:val="2C3E50"/>
          <w:shd w:val="clear" w:color="auto" w:fill="FFFFFF"/>
        </w:rPr>
      </w:pPr>
    </w:p>
    <w:p w14:paraId="469659AC" w14:textId="48BCF1D1" w:rsidR="005D0294" w:rsidRPr="005D0294" w:rsidRDefault="005D0294" w:rsidP="002200B7">
      <w:pPr>
        <w:jc w:val="center"/>
        <w:rPr>
          <w:rFonts w:ascii="Times New Roman" w:hAnsi="Times New Roman"/>
          <w:color w:val="2C3E50"/>
          <w:shd w:val="clear" w:color="auto" w:fill="FFFFFF"/>
        </w:rPr>
      </w:pPr>
      <w:r w:rsidRPr="005D0294">
        <w:rPr>
          <w:rFonts w:ascii="Times New Roman" w:hAnsi="Times New Roman"/>
          <w:color w:val="2C3E50"/>
          <w:shd w:val="clear" w:color="auto" w:fill="FFFFFF"/>
        </w:rPr>
        <w:lastRenderedPageBreak/>
        <w:t>Reference</w:t>
      </w:r>
      <w:r w:rsidR="002200B7">
        <w:rPr>
          <w:rFonts w:ascii="Times New Roman" w:hAnsi="Times New Roman"/>
          <w:color w:val="2C3E50"/>
          <w:shd w:val="clear" w:color="auto" w:fill="FFFFFF"/>
        </w:rPr>
        <w:t>s</w:t>
      </w:r>
    </w:p>
    <w:p w14:paraId="6169348E" w14:textId="77777777" w:rsidR="005D0294" w:rsidRPr="005D0294" w:rsidRDefault="005D0294" w:rsidP="005D0294">
      <w:pPr>
        <w:pStyle w:val="Bibliography"/>
        <w:rPr>
          <w:rFonts w:ascii="Times New Roman" w:hAnsi="Times New Roman"/>
        </w:rPr>
      </w:pPr>
      <w:r>
        <w:rPr>
          <w:color w:val="2C3E50"/>
          <w:shd w:val="clear" w:color="auto" w:fill="FFFFFF"/>
        </w:rPr>
        <w:fldChar w:fldCharType="begin"/>
      </w:r>
      <w:r>
        <w:rPr>
          <w:color w:val="2C3E50"/>
          <w:shd w:val="clear" w:color="auto" w:fill="FFFFFF"/>
        </w:rPr>
        <w:instrText xml:space="preserve"> ADDIN ZOTERO_BIBL {"uncited":[],"omitted":[],"custom":[]} CSL_BIBLIOGRAPHY </w:instrText>
      </w:r>
      <w:r>
        <w:rPr>
          <w:color w:val="2C3E50"/>
          <w:shd w:val="clear" w:color="auto" w:fill="FFFFFF"/>
        </w:rPr>
        <w:fldChar w:fldCharType="separate"/>
      </w:r>
      <w:r w:rsidRPr="005D0294">
        <w:rPr>
          <w:rFonts w:ascii="Times New Roman" w:hAnsi="Times New Roman"/>
        </w:rPr>
        <w:t xml:space="preserve">Feinberg, J. R., Doppen, F. H., &amp; Hollstein, M. S. (2014). Equal Protection, Immigration, and Education: “Plyler v. Doe.” </w:t>
      </w:r>
      <w:r w:rsidRPr="005D0294">
        <w:rPr>
          <w:rFonts w:ascii="Times New Roman" w:hAnsi="Times New Roman"/>
          <w:i/>
          <w:iCs/>
        </w:rPr>
        <w:t>Social Education</w:t>
      </w:r>
      <w:r w:rsidRPr="005D0294">
        <w:rPr>
          <w:rFonts w:ascii="Times New Roman" w:hAnsi="Times New Roman"/>
        </w:rPr>
        <w:t xml:space="preserve">, </w:t>
      </w:r>
      <w:r w:rsidRPr="005D0294">
        <w:rPr>
          <w:rFonts w:ascii="Times New Roman" w:hAnsi="Times New Roman"/>
          <w:i/>
          <w:iCs/>
        </w:rPr>
        <w:t>78</w:t>
      </w:r>
      <w:r w:rsidRPr="005D0294">
        <w:rPr>
          <w:rFonts w:ascii="Times New Roman" w:hAnsi="Times New Roman"/>
        </w:rPr>
        <w:t>(4), 183–188.</w:t>
      </w:r>
    </w:p>
    <w:p w14:paraId="1C1210AB" w14:textId="77777777" w:rsidR="005D0294" w:rsidRPr="005D0294" w:rsidRDefault="005D0294" w:rsidP="005D0294">
      <w:pPr>
        <w:pStyle w:val="Bibliography"/>
        <w:rPr>
          <w:rFonts w:ascii="Times New Roman" w:hAnsi="Times New Roman"/>
        </w:rPr>
      </w:pPr>
      <w:r w:rsidRPr="005D0294">
        <w:rPr>
          <w:rFonts w:ascii="Times New Roman" w:hAnsi="Times New Roman"/>
        </w:rPr>
        <w:t xml:space="preserve">Kooragayala, S. (2019). Preschool for All: Plyler V. Doe in The Context of Early Childhood Education. </w:t>
      </w:r>
      <w:r w:rsidRPr="005D0294">
        <w:rPr>
          <w:rFonts w:ascii="Times New Roman" w:hAnsi="Times New Roman"/>
          <w:i/>
          <w:iCs/>
        </w:rPr>
        <w:t>Northwestern Journal of Law &amp; Social Policy</w:t>
      </w:r>
      <w:r w:rsidRPr="005D0294">
        <w:rPr>
          <w:rFonts w:ascii="Times New Roman" w:hAnsi="Times New Roman"/>
        </w:rPr>
        <w:t xml:space="preserve">, </w:t>
      </w:r>
      <w:r w:rsidRPr="005D0294">
        <w:rPr>
          <w:rFonts w:ascii="Times New Roman" w:hAnsi="Times New Roman"/>
          <w:i/>
          <w:iCs/>
        </w:rPr>
        <w:t>15</w:t>
      </w:r>
      <w:r w:rsidRPr="005D0294">
        <w:rPr>
          <w:rFonts w:ascii="Times New Roman" w:hAnsi="Times New Roman"/>
        </w:rPr>
        <w:t>(1), 98.</w:t>
      </w:r>
    </w:p>
    <w:p w14:paraId="7C1624DE" w14:textId="77777777" w:rsidR="005D0294" w:rsidRPr="005D0294" w:rsidRDefault="005D0294" w:rsidP="005D0294">
      <w:pPr>
        <w:pStyle w:val="Bibliography"/>
        <w:rPr>
          <w:rFonts w:ascii="Times New Roman" w:hAnsi="Times New Roman"/>
        </w:rPr>
      </w:pPr>
      <w:r w:rsidRPr="005D0294">
        <w:rPr>
          <w:rFonts w:ascii="Times New Roman" w:hAnsi="Times New Roman"/>
        </w:rPr>
        <w:t xml:space="preserve">Radoff, S. (2011). Crossing the Borders of Plyler v. Doe: Students without Documentation and their Right to Rights. </w:t>
      </w:r>
      <w:r w:rsidRPr="005D0294">
        <w:rPr>
          <w:rFonts w:ascii="Times New Roman" w:hAnsi="Times New Roman"/>
          <w:i/>
          <w:iCs/>
        </w:rPr>
        <w:t>Educational Studies</w:t>
      </w:r>
      <w:r w:rsidRPr="005D0294">
        <w:rPr>
          <w:rFonts w:ascii="Times New Roman" w:hAnsi="Times New Roman"/>
        </w:rPr>
        <w:t xml:space="preserve">, </w:t>
      </w:r>
      <w:r w:rsidRPr="005D0294">
        <w:rPr>
          <w:rFonts w:ascii="Times New Roman" w:hAnsi="Times New Roman"/>
          <w:i/>
          <w:iCs/>
        </w:rPr>
        <w:t>47</w:t>
      </w:r>
      <w:r w:rsidRPr="005D0294">
        <w:rPr>
          <w:rFonts w:ascii="Times New Roman" w:hAnsi="Times New Roman"/>
        </w:rPr>
        <w:t>(5), 436–450. https://doi.org/10.1080/00131946.2011.602149</w:t>
      </w:r>
    </w:p>
    <w:p w14:paraId="7891540D" w14:textId="77777777" w:rsidR="005D0294" w:rsidRPr="005D0294" w:rsidRDefault="005D0294" w:rsidP="005D0294">
      <w:pPr>
        <w:pStyle w:val="Bibliography"/>
        <w:rPr>
          <w:rFonts w:ascii="Times New Roman" w:hAnsi="Times New Roman"/>
        </w:rPr>
      </w:pPr>
      <w:r w:rsidRPr="005D0294">
        <w:rPr>
          <w:rFonts w:ascii="Times New Roman" w:hAnsi="Times New Roman"/>
        </w:rPr>
        <w:t xml:space="preserve">Soleimani, D. (2010). Plyler in Peril: Why the Supreme Court’s Decision in Plyler v. Doe is at risk of being Reversed - and What Congress Should Do about It. </w:t>
      </w:r>
      <w:r w:rsidRPr="005D0294">
        <w:rPr>
          <w:rFonts w:ascii="Times New Roman" w:hAnsi="Times New Roman"/>
          <w:i/>
          <w:iCs/>
        </w:rPr>
        <w:t>Georgetown Immigration Law Journal</w:t>
      </w:r>
      <w:r w:rsidRPr="005D0294">
        <w:rPr>
          <w:rFonts w:ascii="Times New Roman" w:hAnsi="Times New Roman"/>
        </w:rPr>
        <w:t xml:space="preserve">, </w:t>
      </w:r>
      <w:r w:rsidRPr="005D0294">
        <w:rPr>
          <w:rFonts w:ascii="Times New Roman" w:hAnsi="Times New Roman"/>
          <w:i/>
          <w:iCs/>
        </w:rPr>
        <w:t>25</w:t>
      </w:r>
      <w:r w:rsidRPr="005D0294">
        <w:rPr>
          <w:rFonts w:ascii="Times New Roman" w:hAnsi="Times New Roman"/>
        </w:rPr>
        <w:t>, 195.</w:t>
      </w:r>
    </w:p>
    <w:p w14:paraId="7CEE76DA" w14:textId="4D5184B7" w:rsidR="005D0294" w:rsidRPr="005D0294" w:rsidRDefault="005D0294" w:rsidP="005D0294">
      <w:pPr>
        <w:ind w:firstLine="720"/>
        <w:rPr>
          <w:rFonts w:ascii="Times New Roman" w:hAnsi="Times New Roman"/>
          <w:color w:val="2C3E50"/>
          <w:shd w:val="clear" w:color="auto" w:fill="FFFFFF"/>
        </w:rPr>
      </w:pPr>
      <w:r>
        <w:rPr>
          <w:rFonts w:ascii="Times New Roman" w:hAnsi="Times New Roman"/>
          <w:color w:val="2C3E50"/>
          <w:shd w:val="clear" w:color="auto" w:fill="FFFFFF"/>
        </w:rPr>
        <w:fldChar w:fldCharType="end"/>
      </w:r>
    </w:p>
    <w:p w14:paraId="4D719A83" w14:textId="77777777" w:rsidR="005D0294" w:rsidRPr="005D0294" w:rsidRDefault="005D0294" w:rsidP="005D0294">
      <w:pPr>
        <w:ind w:firstLine="720"/>
        <w:rPr>
          <w:rFonts w:ascii="Times New Roman" w:hAnsi="Times New Roman"/>
        </w:rPr>
      </w:pPr>
    </w:p>
    <w:sectPr w:rsidR="005D0294" w:rsidRPr="005D0294" w:rsidSect="004E23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BFB1C1" w14:textId="77777777" w:rsidR="00D83756" w:rsidRDefault="00D83756" w:rsidP="004E23F9">
      <w:pPr>
        <w:spacing w:line="240" w:lineRule="auto"/>
      </w:pPr>
      <w:r>
        <w:separator/>
      </w:r>
    </w:p>
  </w:endnote>
  <w:endnote w:type="continuationSeparator" w:id="0">
    <w:p w14:paraId="6F7F81B5" w14:textId="77777777" w:rsidR="00D83756" w:rsidRDefault="00D83756" w:rsidP="004E23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C1CFB" w14:textId="77777777" w:rsidR="004E23F9" w:rsidRDefault="004E23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C71C61" w14:textId="77777777" w:rsidR="004E23F9" w:rsidRDefault="004E23F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634A7F" w14:textId="77777777" w:rsidR="004E23F9" w:rsidRDefault="004E23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9439D9" w14:textId="77777777" w:rsidR="00D83756" w:rsidRDefault="00D83756" w:rsidP="004E23F9">
      <w:pPr>
        <w:spacing w:line="240" w:lineRule="auto"/>
      </w:pPr>
      <w:r>
        <w:separator/>
      </w:r>
    </w:p>
  </w:footnote>
  <w:footnote w:type="continuationSeparator" w:id="0">
    <w:p w14:paraId="3D98DB5A" w14:textId="77777777" w:rsidR="00D83756" w:rsidRDefault="00D83756" w:rsidP="004E23F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762D24" w14:textId="77777777" w:rsidR="004E23F9" w:rsidRDefault="004E23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C60D0" w14:textId="306480B0" w:rsidR="004E23F9" w:rsidRDefault="004E23F9">
    <w:pPr>
      <w:pStyle w:val="Header"/>
      <w:jc w:val="right"/>
    </w:pPr>
    <w:r>
      <w:t xml:space="preserve">PLYLER V DOE </w:t>
    </w:r>
    <w:r>
      <w:tab/>
    </w:r>
    <w:r>
      <w:tab/>
    </w:r>
    <w:sdt>
      <w:sdtPr>
        <w:id w:val="19320858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200B7">
          <w:rPr>
            <w:noProof/>
          </w:rPr>
          <w:t>2</w:t>
        </w:r>
        <w:r>
          <w:rPr>
            <w:noProof/>
          </w:rPr>
          <w:fldChar w:fldCharType="end"/>
        </w:r>
      </w:sdtContent>
    </w:sdt>
  </w:p>
  <w:p w14:paraId="355A9750" w14:textId="16E99B02" w:rsidR="004E23F9" w:rsidRDefault="004E23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46D925" w14:textId="2715B74D" w:rsidR="004E23F9" w:rsidRDefault="004E23F9" w:rsidP="004E23F9">
    <w:pPr>
      <w:pStyle w:val="Header"/>
    </w:pPr>
    <w:r>
      <w:t>Running head: PLYLER V DOE</w:t>
    </w:r>
    <w:r>
      <w:tab/>
    </w:r>
    <w:r>
      <w:tab/>
    </w:r>
    <w:sdt>
      <w:sdtPr>
        <w:id w:val="3658759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200B7">
          <w:rPr>
            <w:noProof/>
          </w:rPr>
          <w:t>1</w:t>
        </w:r>
        <w:r>
          <w:rPr>
            <w:noProof/>
          </w:rPr>
          <w:fldChar w:fldCharType="end"/>
        </w:r>
      </w:sdtContent>
    </w:sdt>
  </w:p>
  <w:p w14:paraId="56D0D358" w14:textId="77777777" w:rsidR="004E23F9" w:rsidRDefault="004E23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e2NDM0NDc1NzQyMLdU0lEKTi0uzszPAykwqgUAOz48BSwAAAA="/>
  </w:docVars>
  <w:rsids>
    <w:rsidRoot w:val="00BB2D89"/>
    <w:rsid w:val="000005E5"/>
    <w:rsid w:val="0009642B"/>
    <w:rsid w:val="000F2A57"/>
    <w:rsid w:val="00121C0D"/>
    <w:rsid w:val="001C2945"/>
    <w:rsid w:val="002200B7"/>
    <w:rsid w:val="00253E02"/>
    <w:rsid w:val="00442B3C"/>
    <w:rsid w:val="004E23F9"/>
    <w:rsid w:val="005D0294"/>
    <w:rsid w:val="007642EB"/>
    <w:rsid w:val="008F7472"/>
    <w:rsid w:val="00991FB9"/>
    <w:rsid w:val="009B4FE6"/>
    <w:rsid w:val="00AA3B02"/>
    <w:rsid w:val="00AE200B"/>
    <w:rsid w:val="00BB2D89"/>
    <w:rsid w:val="00D83756"/>
    <w:rsid w:val="00D87780"/>
    <w:rsid w:val="00E435EC"/>
    <w:rsid w:val="00E73D08"/>
    <w:rsid w:val="00E94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B13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4E23F9"/>
    <w:pPr>
      <w:tabs>
        <w:tab w:val="center" w:pos="4680"/>
        <w:tab w:val="right" w:pos="9360"/>
      </w:tabs>
      <w:spacing w:line="240" w:lineRule="auto"/>
    </w:pPr>
  </w:style>
  <w:style w:type="character" w:customStyle="1" w:styleId="HeaderChar">
    <w:name w:val="Header Char"/>
    <w:basedOn w:val="DefaultParagraphFont"/>
    <w:link w:val="Header"/>
    <w:uiPriority w:val="99"/>
    <w:rsid w:val="004E23F9"/>
  </w:style>
  <w:style w:type="paragraph" w:styleId="Footer">
    <w:name w:val="footer"/>
    <w:basedOn w:val="Normal"/>
    <w:link w:val="FooterChar"/>
    <w:uiPriority w:val="99"/>
    <w:unhideWhenUsed/>
    <w:rsid w:val="004E23F9"/>
    <w:pPr>
      <w:tabs>
        <w:tab w:val="center" w:pos="4680"/>
        <w:tab w:val="right" w:pos="9360"/>
      </w:tabs>
      <w:spacing w:line="240" w:lineRule="auto"/>
    </w:pPr>
  </w:style>
  <w:style w:type="character" w:customStyle="1" w:styleId="FooterChar">
    <w:name w:val="Footer Char"/>
    <w:basedOn w:val="DefaultParagraphFont"/>
    <w:link w:val="Footer"/>
    <w:uiPriority w:val="99"/>
    <w:rsid w:val="004E23F9"/>
  </w:style>
  <w:style w:type="paragraph" w:styleId="Bibliography">
    <w:name w:val="Bibliography"/>
    <w:basedOn w:val="Normal"/>
    <w:next w:val="Normal"/>
    <w:uiPriority w:val="37"/>
    <w:unhideWhenUsed/>
    <w:rsid w:val="005D0294"/>
    <w:pPr>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4E23F9"/>
    <w:pPr>
      <w:tabs>
        <w:tab w:val="center" w:pos="4680"/>
        <w:tab w:val="right" w:pos="9360"/>
      </w:tabs>
      <w:spacing w:line="240" w:lineRule="auto"/>
    </w:pPr>
  </w:style>
  <w:style w:type="character" w:customStyle="1" w:styleId="HeaderChar">
    <w:name w:val="Header Char"/>
    <w:basedOn w:val="DefaultParagraphFont"/>
    <w:link w:val="Header"/>
    <w:uiPriority w:val="99"/>
    <w:rsid w:val="004E23F9"/>
  </w:style>
  <w:style w:type="paragraph" w:styleId="Footer">
    <w:name w:val="footer"/>
    <w:basedOn w:val="Normal"/>
    <w:link w:val="FooterChar"/>
    <w:uiPriority w:val="99"/>
    <w:unhideWhenUsed/>
    <w:rsid w:val="004E23F9"/>
    <w:pPr>
      <w:tabs>
        <w:tab w:val="center" w:pos="4680"/>
        <w:tab w:val="right" w:pos="9360"/>
      </w:tabs>
      <w:spacing w:line="240" w:lineRule="auto"/>
    </w:pPr>
  </w:style>
  <w:style w:type="character" w:customStyle="1" w:styleId="FooterChar">
    <w:name w:val="Footer Char"/>
    <w:basedOn w:val="DefaultParagraphFont"/>
    <w:link w:val="Footer"/>
    <w:uiPriority w:val="99"/>
    <w:rsid w:val="004E23F9"/>
  </w:style>
  <w:style w:type="paragraph" w:styleId="Bibliography">
    <w:name w:val="Bibliography"/>
    <w:basedOn w:val="Normal"/>
    <w:next w:val="Normal"/>
    <w:uiPriority w:val="37"/>
    <w:unhideWhenUsed/>
    <w:rsid w:val="005D0294"/>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149</TotalTime>
  <Pages>6</Pages>
  <Words>1972</Words>
  <Characters>11245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8</cp:revision>
  <dcterms:created xsi:type="dcterms:W3CDTF">2020-02-28T20:41:00Z</dcterms:created>
  <dcterms:modified xsi:type="dcterms:W3CDTF">2020-02-29T02:50:00Z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zotero-version="5.0.83"&gt;&lt;session id="FZdpBPKQ"/&gt;&lt;style id="http://www.zotero.org/styles/apa" locale="en-US" hasBibliography="1" bibliographyStyleHasBeenSet="1"/&gt;&lt;prefs&gt;&lt;pref name="fieldType" value="Field"/&gt;&lt;/prefs&gt;&lt;/data&gt;</vt:lpwstr>
  </property>
</Properties>
</file>